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491331" w14:textId="1359AA63" w:rsidR="004E0DD0" w:rsidRDefault="00000000">
      <w:pPr>
        <w:pStyle w:val="Title"/>
      </w:pPr>
      <w:r>
        <w:t xml:space="preserve">Michal </w:t>
      </w:r>
      <w:r w:rsidR="003C42A5" w:rsidRPr="003C42A5">
        <w:t>Štrkolec</w:t>
      </w:r>
    </w:p>
    <w:p w14:paraId="67720621" w14:textId="77777777" w:rsidR="004E0DD0" w:rsidRDefault="00000000">
      <w:pPr>
        <w:pStyle w:val="Subtitle"/>
      </w:pPr>
      <w:r>
        <w:t>Operations &amp; Governance Leader | PCF-16 Branch Manager</w:t>
      </w:r>
    </w:p>
    <w:p w14:paraId="1C621D32" w14:textId="77777777" w:rsidR="004E0DD0" w:rsidRDefault="00000000">
      <w:pPr>
        <w:pStyle w:val="ContactInfo"/>
      </w:pPr>
      <w:r>
        <w:t>+420 777 567 744 | strkolec.michal@gmail.com | Brno, CZ | www.LinkedIn.com/in/michal-strkolec/</w:t>
      </w:r>
    </w:p>
    <w:p w14:paraId="7B06CEA4" w14:textId="77777777" w:rsidR="004E0DD0" w:rsidRDefault="004E0DD0">
      <w:pPr>
        <w:pStyle w:val="Space"/>
        <w:spacing w:line="120" w:lineRule="auto"/>
      </w:pPr>
    </w:p>
    <w:p w14:paraId="4F3274B8" w14:textId="77777777" w:rsidR="004E0DD0" w:rsidRDefault="00000000">
      <w:pPr>
        <w:pStyle w:val="Heading1"/>
      </w:pPr>
      <w:r>
        <w:t>Summary</w:t>
      </w:r>
    </w:p>
    <w:p w14:paraId="74E586CF" w14:textId="24D9E5FE" w:rsidR="004E0DD0" w:rsidRPr="00F7056B" w:rsidRDefault="00673E65" w:rsidP="00F7056B">
      <w:pPr>
        <w:pStyle w:val="Space"/>
        <w:spacing w:line="240" w:lineRule="auto"/>
        <w:rPr>
          <w:szCs w:val="19"/>
        </w:rPr>
      </w:pPr>
      <w:r w:rsidRPr="00673E65">
        <w:rPr>
          <w:szCs w:val="19"/>
        </w:rPr>
        <w:t xml:space="preserve">Senior Operations and Governance Leader with 8+ years across investment operations, operational risk, controls and transformation, currently serving as </w:t>
      </w:r>
      <w:r w:rsidRPr="00673E65">
        <w:rPr>
          <w:b/>
          <w:bCs/>
          <w:szCs w:val="19"/>
        </w:rPr>
        <w:t>Head of Operational Controls EU and CBI-approved PCF-16 Branch Manager.</w:t>
      </w:r>
      <w:r w:rsidRPr="00673E65">
        <w:rPr>
          <w:szCs w:val="19"/>
        </w:rPr>
        <w:t xml:space="preserve"> Experience leading </w:t>
      </w:r>
      <w:r w:rsidRPr="00673E65">
        <w:rPr>
          <w:b/>
          <w:bCs/>
          <w:szCs w:val="19"/>
        </w:rPr>
        <w:t xml:space="preserve">multi-jurisdictional teams, €1bn+ monthly settlement operations and €65bn+ </w:t>
      </w:r>
      <w:proofErr w:type="spellStart"/>
      <w:r w:rsidRPr="00673E65">
        <w:rPr>
          <w:b/>
          <w:bCs/>
          <w:szCs w:val="19"/>
        </w:rPr>
        <w:t>AuA</w:t>
      </w:r>
      <w:proofErr w:type="spellEnd"/>
      <w:r w:rsidRPr="00673E65">
        <w:rPr>
          <w:b/>
          <w:bCs/>
          <w:szCs w:val="19"/>
        </w:rPr>
        <w:t xml:space="preserve"> platform migrations,</w:t>
      </w:r>
      <w:r w:rsidRPr="00673E65">
        <w:rPr>
          <w:szCs w:val="19"/>
        </w:rPr>
        <w:t xml:space="preserve"> with a track record of improving governance, controls and operational efficiency. Bridges Operations, Risk and senior management, translating regulatory and risk requirements into practical, scalable operating solutions</w:t>
      </w:r>
      <w:r w:rsidR="00F7056B" w:rsidRPr="00F7056B">
        <w:rPr>
          <w:szCs w:val="19"/>
        </w:rPr>
        <w:t>.</w:t>
      </w:r>
    </w:p>
    <w:p w14:paraId="2471B401" w14:textId="77777777" w:rsidR="004E0DD0" w:rsidRDefault="00000000">
      <w:pPr>
        <w:pStyle w:val="Heading1"/>
      </w:pPr>
      <w:r>
        <w:t>Work Experience</w:t>
      </w:r>
    </w:p>
    <w:p w14:paraId="39134722" w14:textId="77777777" w:rsidR="004E0DD0" w:rsidRDefault="00000000">
      <w:pPr>
        <w:pStyle w:val="Heading2"/>
        <w:spacing w:before="40"/>
      </w:pPr>
      <w:r>
        <w:t>PCF-16 Branch Manager – Czech Republic, FNZ (Europe) DAC</w:t>
      </w:r>
      <w:r>
        <w:tab/>
        <w:t>07/2026 – present</w:t>
      </w:r>
    </w:p>
    <w:p w14:paraId="4F22453D" w14:textId="77777777" w:rsidR="00234898" w:rsidRDefault="00234898" w:rsidP="00234898">
      <w:pPr>
        <w:pStyle w:val="ListBullet"/>
        <w:spacing w:line="228" w:lineRule="auto"/>
      </w:pPr>
      <w:r>
        <w:t>Board appointed and CBI-approved PCF-16 Branch Manager for the Czech branch of FNZ (Europe) DAC, holding regulated branch responsibilities concurrently with the Head of Operational Controls EU role.</w:t>
      </w:r>
    </w:p>
    <w:p w14:paraId="2C7942C3" w14:textId="13923DC3" w:rsidR="00234898" w:rsidRDefault="00234898">
      <w:pPr>
        <w:pStyle w:val="ListBullet"/>
        <w:spacing w:line="228" w:lineRule="auto"/>
      </w:pPr>
      <w:r>
        <w:t>Oversight of 100+FTE based in Czech branch.</w:t>
      </w:r>
    </w:p>
    <w:p w14:paraId="7046932C" w14:textId="77777777" w:rsidR="00A56429" w:rsidRDefault="00A56429">
      <w:pPr>
        <w:pStyle w:val="ListBullet"/>
        <w:spacing w:line="228" w:lineRule="auto"/>
      </w:pPr>
      <w:r w:rsidRPr="00A56429">
        <w:t>Participates in regular entity governance and oversight forums involving executive leadership, providing oversight and insight on the regulated Czech branch.</w:t>
      </w:r>
    </w:p>
    <w:p w14:paraId="210941F2" w14:textId="3B777169" w:rsidR="004E0DD0" w:rsidRDefault="00000000">
      <w:pPr>
        <w:pStyle w:val="ListBullet"/>
        <w:spacing w:line="228" w:lineRule="auto"/>
      </w:pPr>
      <w:r>
        <w:t>Works across business and control functions to support effective branch governance, clear accountability and appropriate management and escalation of operational and regulatory risks.</w:t>
      </w:r>
    </w:p>
    <w:p w14:paraId="7B339DFA" w14:textId="77777777" w:rsidR="004E0DD0" w:rsidRDefault="004E0DD0">
      <w:pPr>
        <w:pStyle w:val="Space"/>
        <w:spacing w:line="120" w:lineRule="auto"/>
      </w:pPr>
    </w:p>
    <w:p w14:paraId="06408173" w14:textId="77777777" w:rsidR="004E0DD0" w:rsidRDefault="00000000">
      <w:pPr>
        <w:pStyle w:val="Heading2"/>
        <w:spacing w:before="40"/>
      </w:pPr>
      <w:r>
        <w:t>Head of Operational Controls EU, FNZ (Europe) DAC</w:t>
      </w:r>
      <w:r>
        <w:tab/>
        <w:t>04/2026 – present</w:t>
      </w:r>
    </w:p>
    <w:p w14:paraId="5D80E5B6" w14:textId="77777777" w:rsidR="000B7812" w:rsidRDefault="000B7812" w:rsidP="000B7812">
      <w:pPr>
        <w:pStyle w:val="ListBullet"/>
      </w:pPr>
      <w:r>
        <w:t>Independently reviews and challenges controls across 8 EU Investment Operations teams, partnering with Operations leaders and senior management to drive improvements.</w:t>
      </w:r>
    </w:p>
    <w:p w14:paraId="26295503" w14:textId="4242F335" w:rsidR="000B7812" w:rsidRPr="000B7812" w:rsidRDefault="000B7812" w:rsidP="000B7812">
      <w:pPr>
        <w:pStyle w:val="ListBullet"/>
        <w:spacing w:line="228" w:lineRule="auto"/>
      </w:pPr>
      <w:r>
        <w:t>Established first-line assurance reviews using process walkthroughs and evidence-based control testing to identify weaknesses and define remediation.</w:t>
      </w:r>
    </w:p>
    <w:p w14:paraId="65105F91" w14:textId="77777777" w:rsidR="004E0DD0" w:rsidRDefault="00000000">
      <w:pPr>
        <w:pStyle w:val="ListBullet"/>
        <w:spacing w:line="228" w:lineRule="auto"/>
      </w:pPr>
      <w:r>
        <w:t>Translates risk and regulatory requirements into operational practice, recently coordinating Data Protection, regulatory oversight and Operations teams to implement process requirements.</w:t>
      </w:r>
    </w:p>
    <w:p w14:paraId="532EEAE3" w14:textId="7D5371D6" w:rsidR="000B7812" w:rsidRDefault="000B7812" w:rsidP="000B7812">
      <w:pPr>
        <w:pStyle w:val="ListBullet"/>
        <w:spacing w:line="228" w:lineRule="auto"/>
      </w:pPr>
      <w:r>
        <w:t>Identified underutilised system functionality that strengthens controls while releasing an estimated 0.5 FTE / ~880 hours of annual capacity.</w:t>
      </w:r>
    </w:p>
    <w:p w14:paraId="5CD34EAB" w14:textId="77777777" w:rsidR="00A56429" w:rsidRDefault="00A56429">
      <w:pPr>
        <w:pStyle w:val="ListBullet"/>
        <w:spacing w:line="228" w:lineRule="auto"/>
      </w:pPr>
      <w:r w:rsidRPr="00A56429">
        <w:t>Delivered a governance reset across all 8 teams, raising standards for procedures, task lists, roles and responsibilities across Investment Operations.</w:t>
      </w:r>
    </w:p>
    <w:p w14:paraId="6EC1D9C7" w14:textId="425F4B29" w:rsidR="004E0DD0" w:rsidRDefault="000B7812">
      <w:pPr>
        <w:pStyle w:val="ListBullet"/>
        <w:spacing w:line="228" w:lineRule="auto"/>
      </w:pPr>
      <w:r>
        <w:t xml:space="preserve">Helped </w:t>
      </w:r>
      <w:proofErr w:type="spellStart"/>
      <w:r>
        <w:t>stabilise</w:t>
      </w:r>
      <w:proofErr w:type="spellEnd"/>
      <w:r>
        <w:t xml:space="preserve"> a key client proposition through standardised outputs and a structured runbook, contributing to positive client feedback and 3–4 months without escalation.</w:t>
      </w:r>
    </w:p>
    <w:p w14:paraId="25F01B07" w14:textId="367F90B5" w:rsidR="000B7812" w:rsidRDefault="000B7812" w:rsidP="000B7812">
      <w:pPr>
        <w:pStyle w:val="ListBullet"/>
        <w:spacing w:line="228" w:lineRule="auto"/>
      </w:pPr>
      <w:r>
        <w:t>Introduced RAG status reporting across 500+ SMT tickets in European Investment Operations, improving management visibility of priorities and escalation needs.</w:t>
      </w:r>
    </w:p>
    <w:p w14:paraId="1DCCABC5" w14:textId="66C4C616" w:rsidR="004E0DD0" w:rsidRDefault="00000000">
      <w:pPr>
        <w:pStyle w:val="ListBullet"/>
        <w:spacing w:line="228" w:lineRule="auto"/>
      </w:pPr>
      <w:r>
        <w:t>Built a Power BI overtime and capacity dashboard covering 100+ employees, improving visibility of workload concentration and operational-resilience risk.</w:t>
      </w:r>
    </w:p>
    <w:p w14:paraId="6547643C" w14:textId="4C4815D1" w:rsidR="004E0DD0" w:rsidRDefault="00000000">
      <w:pPr>
        <w:pStyle w:val="ListBullet"/>
        <w:spacing w:line="228" w:lineRule="auto"/>
      </w:pPr>
      <w:r>
        <w:t>Acts as Investment Operations AI Champion, guiding safe and practical adoption</w:t>
      </w:r>
      <w:r w:rsidR="00071B0A">
        <w:t>. Introduced</w:t>
      </w:r>
      <w:r>
        <w:t xml:space="preserve"> an AI-assisted procedure review that saves 1+ hour per review.</w:t>
      </w:r>
    </w:p>
    <w:p w14:paraId="74EB2F3E" w14:textId="77777777" w:rsidR="004E0DD0" w:rsidRDefault="004E0DD0">
      <w:pPr>
        <w:pStyle w:val="Space"/>
        <w:spacing w:line="120" w:lineRule="auto"/>
      </w:pPr>
    </w:p>
    <w:p w14:paraId="7D805C73" w14:textId="77777777" w:rsidR="004E0DD0" w:rsidRDefault="00000000">
      <w:pPr>
        <w:pStyle w:val="Heading2"/>
        <w:spacing w:before="40"/>
      </w:pPr>
      <w:r>
        <w:t>Head of Cash &amp; Settlements EU, FNZ (Europe) DAC</w:t>
      </w:r>
      <w:r>
        <w:tab/>
        <w:t>08/2024 – 03/2026</w:t>
      </w:r>
    </w:p>
    <w:p w14:paraId="40679C71" w14:textId="77777777" w:rsidR="004E0DD0" w:rsidRDefault="00000000">
      <w:pPr>
        <w:pStyle w:val="ListBullet"/>
        <w:spacing w:line="228" w:lineRule="auto"/>
      </w:pPr>
      <w:r>
        <w:t>Accountable for end-to-end cash and equity settlement operations, leading 11 FTE across 3 jurisdictions and overseeing monthly cash settlement volumes of €1bn+.</w:t>
      </w:r>
    </w:p>
    <w:p w14:paraId="61E96DD8" w14:textId="77777777" w:rsidR="004E0DD0" w:rsidRDefault="00000000">
      <w:pPr>
        <w:pStyle w:val="ListBullet"/>
        <w:spacing w:line="228" w:lineRule="auto"/>
      </w:pPr>
      <w:r>
        <w:lastRenderedPageBreak/>
        <w:t>Owned the function's RCSA and control environment, acted as primary contact for internal and external audits, and partnered with senior client stakeholders on operational KPIs and service performance.</w:t>
      </w:r>
    </w:p>
    <w:p w14:paraId="5327ECA8" w14:textId="77777777" w:rsidR="004E0DD0" w:rsidRDefault="00000000">
      <w:pPr>
        <w:pStyle w:val="ListBullet"/>
        <w:spacing w:line="228" w:lineRule="auto"/>
      </w:pPr>
      <w:r>
        <w:t>Delivered operational improvement initiatives reducing workload by 20%, while developing team members into expanded process-ownership and leadership responsibilities.</w:t>
      </w:r>
    </w:p>
    <w:p w14:paraId="3C47C63D" w14:textId="46B47FC5" w:rsidR="00F7056B" w:rsidRDefault="00A56429" w:rsidP="00F7056B">
      <w:pPr>
        <w:pStyle w:val="ListBullet"/>
        <w:spacing w:line="228" w:lineRule="auto"/>
      </w:pPr>
      <w:r w:rsidRPr="00A56429">
        <w:t xml:space="preserve">Partnered with clients and project teams to deliver platform onboarding and migrations </w:t>
      </w:r>
      <w:proofErr w:type="spellStart"/>
      <w:r w:rsidRPr="00A56429">
        <w:t>totalling</w:t>
      </w:r>
      <w:proofErr w:type="spellEnd"/>
      <w:r w:rsidRPr="00A56429">
        <w:t xml:space="preserve"> €65bn+ </w:t>
      </w:r>
      <w:proofErr w:type="spellStart"/>
      <w:r w:rsidRPr="00A56429">
        <w:t>AuA</w:t>
      </w:r>
      <w:proofErr w:type="spellEnd"/>
      <w:r w:rsidRPr="00A56429">
        <w:t>, representing the operational function throughout implementation</w:t>
      </w:r>
      <w:r w:rsidR="00F7056B">
        <w:t>.</w:t>
      </w:r>
    </w:p>
    <w:p w14:paraId="3DAEC62B" w14:textId="77777777" w:rsidR="004E0DD0" w:rsidRDefault="004E0DD0">
      <w:pPr>
        <w:pStyle w:val="Space"/>
        <w:spacing w:line="120" w:lineRule="auto"/>
      </w:pPr>
    </w:p>
    <w:p w14:paraId="74F530FE" w14:textId="77777777" w:rsidR="004E0DD0" w:rsidRDefault="00000000">
      <w:pPr>
        <w:pStyle w:val="Heading2"/>
        <w:spacing w:before="40"/>
      </w:pPr>
      <w:r>
        <w:t>Team Manager Investment Operations, FNZ (Europe) DAC</w:t>
      </w:r>
      <w:r>
        <w:tab/>
        <w:t>04/2022 – 07/2024</w:t>
      </w:r>
    </w:p>
    <w:p w14:paraId="7D656426" w14:textId="77777777" w:rsidR="004E0DD0" w:rsidRDefault="00000000">
      <w:pPr>
        <w:pStyle w:val="ListBullet"/>
        <w:spacing w:line="228" w:lineRule="auto"/>
      </w:pPr>
      <w:r>
        <w:t>Led 10 FTE across 4 locations and designed operational processes spanning Cash, Equity Settlements, Rebates and Transfers for clients across Finland, Sweden, Spain and Germany.</w:t>
      </w:r>
    </w:p>
    <w:p w14:paraId="35C00AF4" w14:textId="3C8F0E05" w:rsidR="004E0DD0" w:rsidRDefault="00A56429">
      <w:pPr>
        <w:pStyle w:val="ListBullet"/>
        <w:spacing w:line="228" w:lineRule="auto"/>
      </w:pPr>
      <w:r w:rsidRPr="00A56429">
        <w:t>Relocated to Helsinki</w:t>
      </w:r>
      <w:r>
        <w:t>, Finland</w:t>
      </w:r>
      <w:r w:rsidRPr="00A56429">
        <w:t xml:space="preserve"> for two years to establish local operational capability and partnered with clients and project teams on platform onboarding and migrations of €12bn+ </w:t>
      </w:r>
      <w:proofErr w:type="spellStart"/>
      <w:r w:rsidRPr="00A56429">
        <w:t>AuA</w:t>
      </w:r>
      <w:proofErr w:type="spellEnd"/>
      <w:r>
        <w:t>.</w:t>
      </w:r>
    </w:p>
    <w:p w14:paraId="237103F1" w14:textId="77777777" w:rsidR="004E0DD0" w:rsidRDefault="004E0DD0">
      <w:pPr>
        <w:pStyle w:val="Space"/>
        <w:spacing w:line="120" w:lineRule="auto"/>
      </w:pPr>
    </w:p>
    <w:p w14:paraId="41B0EB19" w14:textId="77777777" w:rsidR="004E0DD0" w:rsidRDefault="00000000">
      <w:pPr>
        <w:pStyle w:val="Heading2"/>
        <w:spacing w:before="40"/>
      </w:pPr>
      <w:r>
        <w:t>Senior Investment Operations Officer, FNZ (Europe) DAC</w:t>
      </w:r>
      <w:r>
        <w:tab/>
        <w:t>06/2020 – 03/2022</w:t>
      </w:r>
    </w:p>
    <w:p w14:paraId="3B3800EA" w14:textId="77777777" w:rsidR="004E0DD0" w:rsidRDefault="00000000">
      <w:pPr>
        <w:pStyle w:val="ListBullet"/>
        <w:spacing w:line="228" w:lineRule="auto"/>
      </w:pPr>
      <w:r>
        <w:t>Established Equity Settlements as a new function and helped build the Cash &amp; Settlements team within the EU entity, developing operating processes and governance standards.</w:t>
      </w:r>
    </w:p>
    <w:p w14:paraId="6E87DAE2" w14:textId="77777777" w:rsidR="004E0DD0" w:rsidRDefault="00000000">
      <w:pPr>
        <w:pStyle w:val="Heading2"/>
        <w:spacing w:before="40"/>
      </w:pPr>
      <w:r>
        <w:t>Investment Operations Officer, FNZ (UK) Ltd.</w:t>
      </w:r>
      <w:r>
        <w:tab/>
        <w:t>06/2018 – 05/2020</w:t>
      </w:r>
    </w:p>
    <w:p w14:paraId="6CE5140C" w14:textId="77777777" w:rsidR="004E0DD0" w:rsidRDefault="00000000">
      <w:pPr>
        <w:pStyle w:val="ListBullet"/>
        <w:spacing w:line="228" w:lineRule="auto"/>
      </w:pPr>
      <w:r>
        <w:t>Built broad investment-operations experience across Cash Settlements, Corporate Actions, Distributions, Static Data and Transfers.</w:t>
      </w:r>
    </w:p>
    <w:p w14:paraId="00413CCB" w14:textId="77777777" w:rsidR="000B7812" w:rsidRDefault="000B7812" w:rsidP="000B7812">
      <w:pPr>
        <w:pStyle w:val="ListBullet"/>
        <w:numPr>
          <w:ilvl w:val="0"/>
          <w:numId w:val="0"/>
        </w:numPr>
        <w:spacing w:line="228" w:lineRule="auto"/>
      </w:pPr>
    </w:p>
    <w:p w14:paraId="2CAD7E99" w14:textId="4CE5B43B" w:rsidR="004E0DD0" w:rsidRDefault="00000000">
      <w:pPr>
        <w:pStyle w:val="Heading1"/>
      </w:pPr>
      <w:r>
        <w:t>Professional Certifications</w:t>
      </w:r>
    </w:p>
    <w:p w14:paraId="16DE7107" w14:textId="77777777" w:rsidR="004E0DD0" w:rsidRDefault="00000000">
      <w:r>
        <w:t>CISI Level 4 Award in Managing Operational Risk in Financial Institutions | The Chartered Institute for Securities &amp; Investment | 2026</w:t>
      </w:r>
    </w:p>
    <w:p w14:paraId="7A88E26C" w14:textId="33C93A93" w:rsidR="000B7812" w:rsidRDefault="000B7812">
      <w:r>
        <w:t>Operational Risk | The Chartered Institute for Securities &amp; Investment | 2025</w:t>
      </w:r>
    </w:p>
    <w:p w14:paraId="6EA2CAEB" w14:textId="77777777" w:rsidR="004E0DD0" w:rsidRDefault="00000000">
      <w:r>
        <w:t>Global Securities Operations | The Chartered Institute for Securities &amp; Investment | 2022</w:t>
      </w:r>
    </w:p>
    <w:p w14:paraId="764F8E1B" w14:textId="77777777" w:rsidR="004E0DD0" w:rsidRDefault="004E0DD0">
      <w:pPr>
        <w:pStyle w:val="Space"/>
        <w:spacing w:line="120" w:lineRule="auto"/>
      </w:pPr>
    </w:p>
    <w:p w14:paraId="650BA1DC" w14:textId="77777777" w:rsidR="004E0DD0" w:rsidRDefault="00000000">
      <w:pPr>
        <w:pStyle w:val="Heading1"/>
      </w:pPr>
      <w:r>
        <w:t>Education</w:t>
      </w:r>
    </w:p>
    <w:p w14:paraId="0A4D5F19" w14:textId="77777777" w:rsidR="004E0DD0" w:rsidRDefault="00000000">
      <w:r>
        <w:t>Bachelor’s Degree – Enterprise Economics | Brno University of Technology | 2020</w:t>
      </w:r>
    </w:p>
    <w:p w14:paraId="55460451" w14:textId="77777777" w:rsidR="004E0DD0" w:rsidRDefault="004E0DD0">
      <w:pPr>
        <w:pStyle w:val="Space"/>
        <w:spacing w:line="120" w:lineRule="auto"/>
      </w:pPr>
    </w:p>
    <w:p w14:paraId="7A208724" w14:textId="77777777" w:rsidR="004E0DD0" w:rsidRDefault="00000000">
      <w:pPr>
        <w:pStyle w:val="Heading1"/>
      </w:pPr>
      <w:r>
        <w:t>Skills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4E0DD0" w14:paraId="5F640D22" w14:textId="77777777">
        <w:tc>
          <w:tcPr>
            <w:tcW w:w="4680" w:type="dxa"/>
          </w:tcPr>
          <w:p w14:paraId="4CED699D" w14:textId="77777777" w:rsidR="004E0DD0" w:rsidRDefault="00000000">
            <w:pPr>
              <w:spacing w:after="20" w:line="252" w:lineRule="auto"/>
              <w:jc w:val="left"/>
            </w:pPr>
            <w:r>
              <w:rPr>
                <w:sz w:val="19"/>
              </w:rPr>
              <w:t>Operations Leadership</w:t>
            </w:r>
            <w:r>
              <w:rPr>
                <w:sz w:val="19"/>
              </w:rPr>
              <w:br/>
              <w:t>Operating Model &amp; Governance</w:t>
            </w:r>
            <w:r>
              <w:rPr>
                <w:sz w:val="19"/>
              </w:rPr>
              <w:br/>
              <w:t>Operational Risk Management &amp; RCSA</w:t>
            </w:r>
            <w:r>
              <w:rPr>
                <w:sz w:val="19"/>
              </w:rPr>
              <w:br/>
              <w:t>Control Design &amp; Assurance</w:t>
            </w:r>
            <w:r>
              <w:rPr>
                <w:sz w:val="19"/>
              </w:rPr>
              <w:br/>
              <w:t>Transformation &amp; Change Delivery</w:t>
            </w:r>
            <w:r>
              <w:rPr>
                <w:sz w:val="19"/>
              </w:rPr>
              <w:br/>
              <w:t>Audit &amp; Regulatory Engagement</w:t>
            </w:r>
          </w:p>
        </w:tc>
        <w:tc>
          <w:tcPr>
            <w:tcW w:w="4680" w:type="dxa"/>
          </w:tcPr>
          <w:p w14:paraId="4AF97756" w14:textId="77777777" w:rsidR="004E0DD0" w:rsidRDefault="00000000">
            <w:pPr>
              <w:spacing w:after="20" w:line="252" w:lineRule="auto"/>
              <w:jc w:val="left"/>
            </w:pPr>
            <w:r>
              <w:rPr>
                <w:sz w:val="19"/>
              </w:rPr>
              <w:t>Cross-functional Leadership</w:t>
            </w:r>
            <w:r>
              <w:rPr>
                <w:sz w:val="19"/>
              </w:rPr>
              <w:br/>
              <w:t>Executive &amp; Client Stakeholder Management</w:t>
            </w:r>
            <w:r>
              <w:rPr>
                <w:sz w:val="19"/>
              </w:rPr>
              <w:br/>
              <w:t>Process &amp; Organisational Design</w:t>
            </w:r>
            <w:r>
              <w:rPr>
                <w:sz w:val="19"/>
              </w:rPr>
              <w:br/>
              <w:t>Management Information &amp; Data Analytics</w:t>
            </w:r>
            <w:r>
              <w:rPr>
                <w:sz w:val="19"/>
              </w:rPr>
              <w:br/>
              <w:t>Power BI &amp; SQL</w:t>
            </w:r>
            <w:r>
              <w:rPr>
                <w:sz w:val="19"/>
              </w:rPr>
              <w:br/>
              <w:t>AI-enabled Process Improvement</w:t>
            </w:r>
          </w:p>
        </w:tc>
      </w:tr>
    </w:tbl>
    <w:p w14:paraId="1C58CAF6" w14:textId="77777777" w:rsidR="00E35421" w:rsidRDefault="00E35421"/>
    <w:sectPr w:rsidR="00E35421" w:rsidSect="00E60A91">
      <w:type w:val="continuous"/>
      <w:pgSz w:w="12240" w:h="15840" w:code="1"/>
      <w:pgMar w:top="144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F55E9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80752C"/>
    <w:multiLevelType w:val="hybridMultilevel"/>
    <w:tmpl w:val="F2ECE5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B679F"/>
    <w:multiLevelType w:val="hybridMultilevel"/>
    <w:tmpl w:val="3D9A990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357842"/>
    <w:multiLevelType w:val="hybridMultilevel"/>
    <w:tmpl w:val="A648B000"/>
    <w:lvl w:ilvl="0" w:tplc="40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4165044F"/>
    <w:multiLevelType w:val="hybridMultilevel"/>
    <w:tmpl w:val="0F802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34D29"/>
    <w:multiLevelType w:val="hybridMultilevel"/>
    <w:tmpl w:val="AE045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8F4AC1"/>
    <w:multiLevelType w:val="hybridMultilevel"/>
    <w:tmpl w:val="386AA6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C58C7"/>
    <w:multiLevelType w:val="hybridMultilevel"/>
    <w:tmpl w:val="2E6432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88005">
    <w:abstractNumId w:val="1"/>
  </w:num>
  <w:num w:numId="2" w16cid:durableId="608776046">
    <w:abstractNumId w:val="2"/>
  </w:num>
  <w:num w:numId="3" w16cid:durableId="1943804326">
    <w:abstractNumId w:val="6"/>
  </w:num>
  <w:num w:numId="4" w16cid:durableId="1027216805">
    <w:abstractNumId w:val="7"/>
  </w:num>
  <w:num w:numId="5" w16cid:durableId="465663499">
    <w:abstractNumId w:val="4"/>
  </w:num>
  <w:num w:numId="6" w16cid:durableId="625738528">
    <w:abstractNumId w:val="3"/>
  </w:num>
  <w:num w:numId="7" w16cid:durableId="36469057">
    <w:abstractNumId w:val="0"/>
  </w:num>
  <w:num w:numId="8" w16cid:durableId="162268461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D6"/>
    <w:rsid w:val="000163A8"/>
    <w:rsid w:val="000429E8"/>
    <w:rsid w:val="00047EEA"/>
    <w:rsid w:val="00071B0A"/>
    <w:rsid w:val="00073B95"/>
    <w:rsid w:val="00076D9D"/>
    <w:rsid w:val="00077DBA"/>
    <w:rsid w:val="000B516B"/>
    <w:rsid w:val="000B7812"/>
    <w:rsid w:val="000F59E8"/>
    <w:rsid w:val="00103AFF"/>
    <w:rsid w:val="00117E20"/>
    <w:rsid w:val="00124A30"/>
    <w:rsid w:val="0016554B"/>
    <w:rsid w:val="001A526E"/>
    <w:rsid w:val="001C6B76"/>
    <w:rsid w:val="001D3991"/>
    <w:rsid w:val="001E113D"/>
    <w:rsid w:val="001E74FB"/>
    <w:rsid w:val="00200E6C"/>
    <w:rsid w:val="00201BAD"/>
    <w:rsid w:val="00210A99"/>
    <w:rsid w:val="00234898"/>
    <w:rsid w:val="0025029B"/>
    <w:rsid w:val="00252A64"/>
    <w:rsid w:val="0025570E"/>
    <w:rsid w:val="00257458"/>
    <w:rsid w:val="00291FBE"/>
    <w:rsid w:val="002D60EC"/>
    <w:rsid w:val="00300502"/>
    <w:rsid w:val="00310F03"/>
    <w:rsid w:val="00331963"/>
    <w:rsid w:val="00343E05"/>
    <w:rsid w:val="003C42A5"/>
    <w:rsid w:val="003E0A2C"/>
    <w:rsid w:val="003F2F97"/>
    <w:rsid w:val="00473628"/>
    <w:rsid w:val="00475B42"/>
    <w:rsid w:val="00477EE5"/>
    <w:rsid w:val="004A167D"/>
    <w:rsid w:val="004B79C8"/>
    <w:rsid w:val="004E0DD0"/>
    <w:rsid w:val="005033F2"/>
    <w:rsid w:val="0051228E"/>
    <w:rsid w:val="00534932"/>
    <w:rsid w:val="005605AA"/>
    <w:rsid w:val="0057694E"/>
    <w:rsid w:val="005912A3"/>
    <w:rsid w:val="005933EA"/>
    <w:rsid w:val="005B0733"/>
    <w:rsid w:val="005C2F72"/>
    <w:rsid w:val="005E487C"/>
    <w:rsid w:val="005F604E"/>
    <w:rsid w:val="00612A31"/>
    <w:rsid w:val="006439B5"/>
    <w:rsid w:val="00655012"/>
    <w:rsid w:val="00673E65"/>
    <w:rsid w:val="006B055A"/>
    <w:rsid w:val="006B29A0"/>
    <w:rsid w:val="006C6B99"/>
    <w:rsid w:val="006F05EE"/>
    <w:rsid w:val="00702120"/>
    <w:rsid w:val="0070690B"/>
    <w:rsid w:val="00747E55"/>
    <w:rsid w:val="007959E0"/>
    <w:rsid w:val="00804E11"/>
    <w:rsid w:val="00822C0B"/>
    <w:rsid w:val="008544C7"/>
    <w:rsid w:val="008A688B"/>
    <w:rsid w:val="008C57C3"/>
    <w:rsid w:val="009051D6"/>
    <w:rsid w:val="00914FF6"/>
    <w:rsid w:val="00930829"/>
    <w:rsid w:val="00956906"/>
    <w:rsid w:val="00957804"/>
    <w:rsid w:val="009A0BBC"/>
    <w:rsid w:val="009C0B22"/>
    <w:rsid w:val="009C26CA"/>
    <w:rsid w:val="009C563B"/>
    <w:rsid w:val="00A145F3"/>
    <w:rsid w:val="00A37862"/>
    <w:rsid w:val="00A462BC"/>
    <w:rsid w:val="00A50862"/>
    <w:rsid w:val="00A56429"/>
    <w:rsid w:val="00A82134"/>
    <w:rsid w:val="00AB1D9A"/>
    <w:rsid w:val="00AB5F40"/>
    <w:rsid w:val="00AE1633"/>
    <w:rsid w:val="00B11D21"/>
    <w:rsid w:val="00B12952"/>
    <w:rsid w:val="00B141E2"/>
    <w:rsid w:val="00B30F32"/>
    <w:rsid w:val="00B35121"/>
    <w:rsid w:val="00B506AF"/>
    <w:rsid w:val="00BA5C12"/>
    <w:rsid w:val="00BB22AB"/>
    <w:rsid w:val="00BB68E4"/>
    <w:rsid w:val="00BC2926"/>
    <w:rsid w:val="00BD70AE"/>
    <w:rsid w:val="00BD7DB6"/>
    <w:rsid w:val="00C202A5"/>
    <w:rsid w:val="00C339EB"/>
    <w:rsid w:val="00C66834"/>
    <w:rsid w:val="00C76F0F"/>
    <w:rsid w:val="00C94687"/>
    <w:rsid w:val="00CC3ADC"/>
    <w:rsid w:val="00CD36B3"/>
    <w:rsid w:val="00D55398"/>
    <w:rsid w:val="00D60F63"/>
    <w:rsid w:val="00D71BAA"/>
    <w:rsid w:val="00D920AB"/>
    <w:rsid w:val="00DB568E"/>
    <w:rsid w:val="00DC22ED"/>
    <w:rsid w:val="00DC3ED6"/>
    <w:rsid w:val="00DC3F0E"/>
    <w:rsid w:val="00E125DE"/>
    <w:rsid w:val="00E253F0"/>
    <w:rsid w:val="00E26F5C"/>
    <w:rsid w:val="00E35421"/>
    <w:rsid w:val="00E359D8"/>
    <w:rsid w:val="00E60A91"/>
    <w:rsid w:val="00E67BE9"/>
    <w:rsid w:val="00E70AD9"/>
    <w:rsid w:val="00E724A0"/>
    <w:rsid w:val="00E7709C"/>
    <w:rsid w:val="00F311A6"/>
    <w:rsid w:val="00F31A32"/>
    <w:rsid w:val="00F554EB"/>
    <w:rsid w:val="00F620E8"/>
    <w:rsid w:val="00F62579"/>
    <w:rsid w:val="00F7056B"/>
    <w:rsid w:val="00F97A4C"/>
    <w:rsid w:val="00FA1D98"/>
    <w:rsid w:val="00FB0755"/>
    <w:rsid w:val="00FB73E5"/>
    <w:rsid w:val="00FD1D15"/>
    <w:rsid w:val="00FD2C30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7D29"/>
  <w15:chartTrackingRefBased/>
  <w15:docId w15:val="{DAA7338B-EFD7-9D4E-BB59-B1E05C8C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A91"/>
    <w:pPr>
      <w:spacing w:after="0"/>
      <w:jc w:val="both"/>
    </w:pPr>
    <w:rPr>
      <w:rFonts w:cs="Open Sans"/>
      <w:color w:val="767171" w:themeColor="background2" w:themeShade="80"/>
      <w:position w:val="8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A91"/>
    <w:pPr>
      <w:shd w:val="clear" w:color="auto" w:fill="E7E6E6" w:themeFill="background2"/>
      <w:spacing w:after="40"/>
      <w:outlineLvl w:val="0"/>
    </w:pPr>
    <w:rPr>
      <w:b/>
      <w:caps/>
      <w:color w:val="595959" w:themeColor="text1" w:themeTint="A6"/>
      <w:spacing w:val="40"/>
      <w:position w:val="9"/>
      <w:sz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E60A91"/>
    <w:pPr>
      <w:tabs>
        <w:tab w:val="right" w:pos="9360"/>
      </w:tabs>
      <w:outlineLvl w:val="1"/>
    </w:pPr>
    <w:rPr>
      <w:b/>
      <w:bCs/>
      <w:sz w:val="19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50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0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FD2C30"/>
    <w:pPr>
      <w:spacing w:line="240" w:lineRule="auto"/>
      <w:ind w:left="720"/>
      <w:contextualSpacing/>
      <w:jc w:val="center"/>
    </w:pPr>
  </w:style>
  <w:style w:type="paragraph" w:styleId="Title">
    <w:name w:val="Title"/>
    <w:basedOn w:val="Normal"/>
    <w:next w:val="Normal"/>
    <w:link w:val="TitleChar"/>
    <w:uiPriority w:val="10"/>
    <w:qFormat/>
    <w:rsid w:val="0025029B"/>
    <w:pPr>
      <w:spacing w:after="80" w:line="240" w:lineRule="auto"/>
      <w:jc w:val="center"/>
    </w:pPr>
    <w:rPr>
      <w:rFonts w:asciiTheme="majorHAnsi" w:hAnsiTheme="majorHAnsi" w:cstheme="minorBidi"/>
      <w:b/>
      <w:caps/>
      <w:color w:val="3B3838" w:themeColor="background2" w:themeShade="40"/>
      <w:position w:val="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5029B"/>
    <w:rPr>
      <w:rFonts w:asciiTheme="majorHAnsi" w:hAnsiTheme="majorHAnsi"/>
      <w:b/>
      <w:caps/>
      <w:color w:val="3B3838" w:themeColor="background2" w:themeShade="40"/>
      <w:sz w:val="48"/>
      <w:szCs w:val="4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834"/>
    <w:pPr>
      <w:spacing w:after="40" w:line="240" w:lineRule="auto"/>
      <w:jc w:val="center"/>
    </w:pPr>
    <w:rPr>
      <w:caps/>
      <w:color w:val="3B3838" w:themeColor="background2" w:themeShade="40"/>
      <w:position w:val="0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C66834"/>
    <w:rPr>
      <w:rFonts w:cs="Open Sans"/>
      <w:caps/>
      <w:color w:val="3B3838" w:themeColor="background2" w:themeShade="40"/>
      <w:sz w:val="28"/>
      <w:szCs w:val="28"/>
      <w:lang w:val="en-GB"/>
    </w:rPr>
  </w:style>
  <w:style w:type="paragraph" w:customStyle="1" w:styleId="ContactInfo">
    <w:name w:val="Contact Info"/>
    <w:basedOn w:val="Normal"/>
    <w:qFormat/>
    <w:rsid w:val="00E60A91"/>
    <w:pPr>
      <w:jc w:val="center"/>
    </w:pPr>
    <w:rPr>
      <w:rFonts w:cstheme="minorHAnsi"/>
      <w:color w:val="auto"/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E60A91"/>
    <w:rPr>
      <w:rFonts w:cs="Open Sans"/>
      <w:b/>
      <w:caps/>
      <w:color w:val="595959" w:themeColor="text1" w:themeTint="A6"/>
      <w:spacing w:val="40"/>
      <w:position w:val="9"/>
      <w:sz w:val="26"/>
      <w:szCs w:val="24"/>
      <w:shd w:val="clear" w:color="auto" w:fill="E7E6E6" w:themeFill="background2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D60F63"/>
  </w:style>
  <w:style w:type="character" w:customStyle="1" w:styleId="SignatureChar">
    <w:name w:val="Signature Char"/>
    <w:basedOn w:val="DefaultParagraphFont"/>
    <w:link w:val="Signature"/>
    <w:uiPriority w:val="99"/>
    <w:semiHidden/>
    <w:rsid w:val="00E60A91"/>
    <w:rPr>
      <w:rFonts w:cs="Open Sans"/>
      <w:color w:val="767171" w:themeColor="background2" w:themeShade="80"/>
      <w:position w:val="8"/>
      <w:sz w:val="23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60A91"/>
    <w:rPr>
      <w:rFonts w:cs="Open Sans"/>
      <w:b/>
      <w:bCs/>
      <w:color w:val="767171" w:themeColor="background2" w:themeShade="80"/>
      <w:position w:val="8"/>
      <w:sz w:val="23"/>
      <w:szCs w:val="24"/>
      <w:lang w:val="en-GB"/>
    </w:rPr>
  </w:style>
  <w:style w:type="paragraph" w:styleId="ListBullet">
    <w:name w:val="List Bullet"/>
    <w:basedOn w:val="Normal"/>
    <w:uiPriority w:val="99"/>
    <w:rsid w:val="00E60A91"/>
    <w:pPr>
      <w:numPr>
        <w:numId w:val="7"/>
      </w:numPr>
      <w:spacing w:line="240" w:lineRule="auto"/>
      <w:ind w:left="720"/>
      <w:contextualSpacing/>
    </w:pPr>
    <w:rPr>
      <w:sz w:val="19"/>
    </w:rPr>
  </w:style>
  <w:style w:type="paragraph" w:customStyle="1" w:styleId="Space">
    <w:name w:val="Space"/>
    <w:basedOn w:val="Normal"/>
    <w:qFormat/>
    <w:rsid w:val="009C26CA"/>
    <w:rPr>
      <w:sz w:val="19"/>
    </w:rPr>
  </w:style>
  <w:style w:type="table" w:styleId="TableGrid">
    <w:name w:val="Table Grid"/>
    <w:basedOn w:val="TableNormal"/>
    <w:uiPriority w:val="39"/>
    <w:rsid w:val="00E60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B781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position w:val="0"/>
      <w:sz w:val="24"/>
      <w:lang w:val="en-S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5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l/Library/Containers/com.microsoft.Word/Data/Library/Application%20Support/Microsoft/Office/16.0/DTS/Search/%7b1CD7232E-8AE2-454D-B456-1929818BC12F%7dtf00435181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Libre Baskervill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MediaServiceKeyPoints xmlns="71af3243-3dd4-4a8d-8c0d-dd76da1f02a5" xsi:nil="true"/>
    <SharedWithUsers xmlns="16c05727-aa75-4e4a-9b5f-8a80a116589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9C2DF8C-3318-4F13-80D5-B2419EF33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F6527A-C445-4A1C-906C-A656464B2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627711-10FE-402C-BDF4-5EB0A811CE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C183AF-1FD8-4013-8D37-BB9E95AFB4E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0e9df3-be65-4c73-a93b-d1236ebd677e"/>
    <ds:schemaRef ds:uri="71af3243-3dd4-4a8d-8c0d-dd76da1f02a5"/>
    <ds:schemaRef ds:uri="16c05727-aa75-4e4a-9b5f-8a80a1165891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{1CD7232E-8AE2-454D-B456-1929818BC12F}tf00435181_win32.dotx</Template>
  <TotalTime>169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Štrkolec</dc:creator>
  <cp:keywords/>
  <dc:description/>
  <cp:lastModifiedBy>Michal Strkolec</cp:lastModifiedBy>
  <cp:revision>13</cp:revision>
  <cp:lastPrinted>2023-04-19T12:11:00Z</cp:lastPrinted>
  <dcterms:created xsi:type="dcterms:W3CDTF">2026-04-08T23:33:00Z</dcterms:created>
  <dcterms:modified xsi:type="dcterms:W3CDTF">2026-10-05T19:19:00Z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Order">
    <vt:r8>5356800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